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6F" w:rsidRDefault="00972405">
      <w:pPr>
        <w:jc w:val="center"/>
      </w:pPr>
      <w:bookmarkStart w:id="0" w:name="_GoBack"/>
      <w:bookmarkEnd w:id="0"/>
      <w:r>
        <w:rPr>
          <w:rStyle w:val="s1"/>
        </w:rPr>
        <w:t xml:space="preserve">Приказ и.о. Министра национальной экономики Республики Казахстан от 25 ноября 2015 года № 729 </w:t>
      </w:r>
      <w:r>
        <w:rPr>
          <w:rStyle w:val="s1"/>
        </w:rPr>
        <w:br/>
        <w:t>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</w:t>
      </w:r>
    </w:p>
    <w:p w:rsidR="005A2D6F" w:rsidRDefault="00972405">
      <w:pPr>
        <w:jc w:val="center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от 03.09.2019 г.)</w:t>
      </w:r>
    </w:p>
    <w:p w:rsidR="005A2D6F" w:rsidRDefault="00972405">
      <w:pPr>
        <w:jc w:val="center"/>
      </w:pPr>
      <w:r>
        <w:t> </w:t>
      </w:r>
    </w:p>
    <w:p w:rsidR="005A2D6F" w:rsidRDefault="00972405">
      <w:pPr>
        <w:ind w:firstLine="426"/>
        <w:jc w:val="both"/>
      </w:pPr>
      <w:r>
        <w:t xml:space="preserve">В соответствии с </w:t>
      </w:r>
      <w:hyperlink r:id="rId7" w:anchor="sub_id=4000306" w:history="1">
        <w:r>
          <w:rPr>
            <w:rStyle w:val="a4"/>
          </w:rPr>
          <w:t>подпунктом 3-6) статьи 4</w:t>
        </w:r>
      </w:hyperlink>
      <w:r>
        <w:t xml:space="preserve"> и </w:t>
      </w:r>
      <w:hyperlink r:id="rId8" w:anchor="sub_id=170700" w:history="1">
        <w:r>
          <w:rPr>
            <w:rStyle w:val="a4"/>
          </w:rPr>
          <w:t>пунктом 7 статьи 17</w:t>
        </w:r>
      </w:hyperlink>
      <w:r>
        <w:t xml:space="preserve"> Закона Республики Казахстан от 4 мая 2009 года «О товарных биржах» </w:t>
      </w:r>
      <w:r>
        <w:rPr>
          <w:b/>
          <w:bCs/>
        </w:rPr>
        <w:t>ПРИКАЗЫВАЮ:</w:t>
      </w:r>
    </w:p>
    <w:p w:rsidR="005A2D6F" w:rsidRDefault="00972405">
      <w:pPr>
        <w:ind w:firstLine="426"/>
        <w:jc w:val="both"/>
      </w:pPr>
      <w:r>
        <w:t>1. Утвердить:</w:t>
      </w:r>
    </w:p>
    <w:p w:rsidR="005A2D6F" w:rsidRDefault="00972405">
      <w:pPr>
        <w:ind w:firstLine="426"/>
        <w:jc w:val="both"/>
      </w:pPr>
      <w:r>
        <w:t xml:space="preserve">1) </w:t>
      </w:r>
      <w:hyperlink w:anchor="sub100" w:history="1">
        <w:r>
          <w:rPr>
            <w:rStyle w:val="a4"/>
          </w:rPr>
          <w:t>Правила</w:t>
        </w:r>
      </w:hyperlink>
      <w:r>
        <w:t xml:space="preserve"> осуществления клиринговой деятельности по биржевым сделкам согласно приложению 1;</w:t>
      </w:r>
    </w:p>
    <w:p w:rsidR="005A2D6F" w:rsidRDefault="00972405">
      <w:pPr>
        <w:ind w:firstLine="426"/>
        <w:jc w:val="both"/>
      </w:pPr>
      <w:r>
        <w:t xml:space="preserve">2) </w:t>
      </w:r>
      <w:hyperlink w:anchor="sub2" w:history="1">
        <w:r>
          <w:rPr>
            <w:rStyle w:val="a4"/>
          </w:rPr>
          <w:t>Требования</w:t>
        </w:r>
      </w:hyperlink>
      <w:r>
        <w:t xml:space="preserve"> к аппаратно-программному комплексу клирингового центра товарной биржи согласно приложению 2.</w:t>
      </w:r>
    </w:p>
    <w:p w:rsidR="005A2D6F" w:rsidRDefault="00972405">
      <w:pPr>
        <w:ind w:firstLine="426"/>
        <w:jc w:val="both"/>
      </w:pPr>
      <w:r>
        <w:t>2. Департаменту регулирования торговой деятельности Министерства национальной экономики Республики Казахстан обеспечить:</w:t>
      </w:r>
    </w:p>
    <w:p w:rsidR="005A2D6F" w:rsidRDefault="00972405">
      <w:pPr>
        <w:ind w:firstLine="426"/>
        <w:jc w:val="both"/>
      </w:pPr>
      <w: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t xml:space="preserve"> настоящего приказа в Министерстве юстиции Республики Казахстан;</w:t>
      </w:r>
    </w:p>
    <w:p w:rsidR="005A2D6F" w:rsidRDefault="00972405">
      <w:pPr>
        <w:ind w:firstLine="426"/>
        <w:jc w:val="both"/>
      </w:pPr>
      <w:r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</w:p>
    <w:p w:rsidR="005A2D6F" w:rsidRDefault="00972405">
      <w:pPr>
        <w:ind w:firstLine="426"/>
        <w:jc w:val="both"/>
      </w:pPr>
      <w:r>
        <w:t>3) опубликование настоящего приказа на официальном интернет-ресурсе Министерства национальной экономики Республики Казахстан.</w:t>
      </w:r>
    </w:p>
    <w:p w:rsidR="005A2D6F" w:rsidRDefault="00972405">
      <w:pPr>
        <w:ind w:firstLine="426"/>
        <w:jc w:val="both"/>
      </w:pPr>
      <w:r>
        <w:t>3. Контроль за исполнением настоящего приказа возложить на курирующего Вице-Министра национальной экономики Республики Казахстан.</w:t>
      </w:r>
    </w:p>
    <w:p w:rsidR="005A2D6F" w:rsidRDefault="00972405">
      <w:pPr>
        <w:ind w:firstLine="426"/>
        <w:jc w:val="both"/>
      </w:pPr>
      <w:bookmarkStart w:id="1" w:name="SUB44"/>
      <w:bookmarkEnd w:id="1"/>
      <w: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t xml:space="preserve">, за исключением </w:t>
      </w:r>
      <w:hyperlink w:anchor="sub2" w:history="1">
        <w:r>
          <w:rPr>
            <w:rStyle w:val="a4"/>
          </w:rPr>
          <w:t>приложения 2</w:t>
        </w:r>
      </w:hyperlink>
      <w:r>
        <w:t xml:space="preserve"> к настоящему приказу, которое вводится в действие с 1 января 2017 года.</w:t>
      </w:r>
    </w:p>
    <w:p w:rsidR="005A2D6F" w:rsidRDefault="00972405">
      <w:pPr>
        <w:ind w:firstLine="426"/>
        <w:jc w:val="both"/>
      </w:pPr>
      <w:r>
        <w:t> </w:t>
      </w:r>
    </w:p>
    <w:p w:rsidR="005A2D6F" w:rsidRDefault="00972405">
      <w:pPr>
        <w:ind w:firstLine="4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2D6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D6F" w:rsidRDefault="00972405">
            <w:pPr>
              <w:autoSpaceDE w:val="0"/>
              <w:autoSpaceDN w:val="0"/>
            </w:pPr>
            <w:r>
              <w:rPr>
                <w:b/>
                <w:bCs/>
              </w:rPr>
              <w:t xml:space="preserve">И.о. Министра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D6F" w:rsidRDefault="00972405">
            <w:pPr>
              <w:autoSpaceDE w:val="0"/>
              <w:autoSpaceDN w:val="0"/>
              <w:jc w:val="right"/>
            </w:pPr>
            <w:r>
              <w:rPr>
                <w:b/>
                <w:bCs/>
              </w:rPr>
              <w:t>М. Кусаинов</w:t>
            </w:r>
          </w:p>
        </w:tc>
      </w:tr>
    </w:tbl>
    <w:p w:rsidR="005A2D6F" w:rsidRDefault="00972405">
      <w:pPr>
        <w:ind w:firstLine="426"/>
      </w:pPr>
      <w:r>
        <w:t> </w:t>
      </w:r>
    </w:p>
    <w:p w:rsidR="005A2D6F" w:rsidRDefault="00972405">
      <w:pPr>
        <w:ind w:firstLine="426"/>
      </w:pPr>
      <w:r>
        <w:rPr>
          <w:b/>
          <w:bCs/>
        </w:rPr>
        <w:t>«СОГЛАСОВАН»</w:t>
      </w:r>
    </w:p>
    <w:p w:rsidR="005A2D6F" w:rsidRDefault="00972405">
      <w:pPr>
        <w:ind w:firstLine="426"/>
      </w:pPr>
      <w:r>
        <w:rPr>
          <w:b/>
          <w:bCs/>
        </w:rPr>
        <w:t>Министр</w:t>
      </w:r>
    </w:p>
    <w:p w:rsidR="005A2D6F" w:rsidRDefault="00972405">
      <w:pPr>
        <w:ind w:firstLine="426"/>
      </w:pPr>
      <w:r>
        <w:rPr>
          <w:b/>
          <w:bCs/>
        </w:rPr>
        <w:t>по инвестициям и развитию</w:t>
      </w:r>
    </w:p>
    <w:p w:rsidR="005A2D6F" w:rsidRDefault="00972405">
      <w:pPr>
        <w:ind w:firstLine="426"/>
      </w:pPr>
      <w:r>
        <w:rPr>
          <w:b/>
          <w:bCs/>
        </w:rPr>
        <w:t>Республики Казахстан</w:t>
      </w:r>
    </w:p>
    <w:p w:rsidR="005A2D6F" w:rsidRDefault="00972405">
      <w:pPr>
        <w:ind w:firstLine="426"/>
      </w:pPr>
      <w:r>
        <w:rPr>
          <w:b/>
          <w:bCs/>
        </w:rPr>
        <w:t xml:space="preserve">А. Исекешев </w:t>
      </w:r>
    </w:p>
    <w:p w:rsidR="005A2D6F" w:rsidRDefault="00972405">
      <w:pPr>
        <w:ind w:firstLine="426"/>
      </w:pPr>
      <w:r>
        <w:rPr>
          <w:b/>
          <w:bCs/>
        </w:rPr>
        <w:t>2015 года</w:t>
      </w:r>
    </w:p>
    <w:p w:rsidR="005A2D6F" w:rsidRDefault="00972405">
      <w:pPr>
        <w:ind w:firstLine="426"/>
      </w:pPr>
      <w:r>
        <w:t> </w:t>
      </w:r>
    </w:p>
    <w:p w:rsidR="005A2D6F" w:rsidRDefault="00972405">
      <w:pPr>
        <w:ind w:firstLine="426"/>
        <w:jc w:val="right"/>
      </w:pPr>
      <w:bookmarkStart w:id="2" w:name="SUB100"/>
      <w:bookmarkEnd w:id="2"/>
      <w:r>
        <w:t>Приложение 1</w:t>
      </w:r>
    </w:p>
    <w:p w:rsidR="005A2D6F" w:rsidRDefault="00972405">
      <w:pPr>
        <w:ind w:firstLine="426"/>
        <w:jc w:val="right"/>
      </w:pPr>
      <w: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t xml:space="preserve"> и.о. Министра </w:t>
      </w:r>
    </w:p>
    <w:p w:rsidR="005A2D6F" w:rsidRDefault="00972405">
      <w:pPr>
        <w:ind w:firstLine="426"/>
        <w:jc w:val="right"/>
      </w:pPr>
      <w:r>
        <w:t>национальной экономики</w:t>
      </w:r>
    </w:p>
    <w:p w:rsidR="005A2D6F" w:rsidRDefault="00972405">
      <w:pPr>
        <w:ind w:firstLine="426"/>
        <w:jc w:val="right"/>
      </w:pPr>
      <w:r>
        <w:t xml:space="preserve">Республики Казахстан </w:t>
      </w:r>
    </w:p>
    <w:p w:rsidR="005A2D6F" w:rsidRDefault="00972405">
      <w:pPr>
        <w:ind w:firstLine="426"/>
        <w:jc w:val="right"/>
      </w:pPr>
      <w:r>
        <w:t>от 25 ноября 2015 года № 729</w:t>
      </w:r>
    </w:p>
    <w:p w:rsidR="005A2D6F" w:rsidRDefault="00972405">
      <w:pPr>
        <w:ind w:firstLine="426"/>
      </w:pPr>
      <w:r>
        <w:t> </w:t>
      </w:r>
    </w:p>
    <w:p w:rsidR="005A2D6F" w:rsidRDefault="00972405">
      <w:pPr>
        <w:ind w:firstLine="426"/>
      </w:pPr>
      <w:r>
        <w:t> </w:t>
      </w:r>
    </w:p>
    <w:p w:rsidR="005A2D6F" w:rsidRDefault="00972405">
      <w:pPr>
        <w:spacing w:after="240"/>
        <w:jc w:val="center"/>
      </w:pPr>
      <w:r>
        <w:rPr>
          <w:rStyle w:val="s1"/>
        </w:rPr>
        <w:lastRenderedPageBreak/>
        <w:t xml:space="preserve">Правила осуществления </w:t>
      </w:r>
      <w:r>
        <w:rPr>
          <w:rStyle w:val="s1"/>
        </w:rPr>
        <w:br/>
        <w:t>клиринговой деятельности по биржевым сделкам</w:t>
      </w:r>
    </w:p>
    <w:p w:rsidR="005A2D6F" w:rsidRDefault="00972405">
      <w:pPr>
        <w:jc w:val="both"/>
      </w:pPr>
      <w:r>
        <w:rPr>
          <w:rStyle w:val="s3"/>
        </w:rPr>
        <w:t xml:space="preserve">Заголовок главы 1 изложен в редакции </w:t>
      </w:r>
      <w:hyperlink r:id="rId11" w:anchor="sub_id=3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12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jc w:val="center"/>
      </w:pPr>
      <w:r>
        <w:rPr>
          <w:rStyle w:val="s1"/>
        </w:rPr>
        <w:t>Глава 1. Общие положения</w:t>
      </w:r>
    </w:p>
    <w:p w:rsidR="005A2D6F" w:rsidRDefault="00972405">
      <w:pPr>
        <w:ind w:firstLine="426"/>
        <w:jc w:val="center"/>
      </w:pPr>
      <w:r>
        <w:t> </w:t>
      </w:r>
    </w:p>
    <w:p w:rsidR="005A2D6F" w:rsidRDefault="00972405">
      <w:pPr>
        <w:ind w:firstLine="426"/>
        <w:jc w:val="both"/>
      </w:pPr>
      <w:r>
        <w:t xml:space="preserve">1. Настоящие Правила осуществления клиринговой деятельности по биржевым сделкам (далее - Правила) разработаны в соответствии с </w:t>
      </w:r>
      <w:hyperlink r:id="rId13" w:history="1">
        <w:r>
          <w:rPr>
            <w:rStyle w:val="a4"/>
          </w:rPr>
          <w:t>Законом</w:t>
        </w:r>
      </w:hyperlink>
      <w:r>
        <w:t xml:space="preserve"> Республики Казахстан от 4 мая 2009 года «О товарных биржах» (далее - Закон) и определяют порядок осуществления клиринговой деятельности по биржевым сделкам.</w:t>
      </w:r>
    </w:p>
    <w:p w:rsidR="005A2D6F" w:rsidRDefault="00972405">
      <w:pPr>
        <w:ind w:firstLine="426"/>
        <w:jc w:val="both"/>
      </w:pPr>
      <w:r>
        <w:t>Требования настоящих Правил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</w:t>
      </w:r>
    </w:p>
    <w:p w:rsidR="005A2D6F" w:rsidRDefault="00972405">
      <w:pPr>
        <w:jc w:val="both"/>
      </w:pPr>
      <w:r>
        <w:rPr>
          <w:rStyle w:val="s3"/>
        </w:rPr>
        <w:t xml:space="preserve">Пункт 2 изложен в редакции </w:t>
      </w:r>
      <w:hyperlink r:id="rId14" w:anchor="sub_id=30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15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ind w:firstLine="397"/>
        <w:jc w:val="both"/>
      </w:pPr>
      <w:r>
        <w:rPr>
          <w:rStyle w:val="s0"/>
        </w:rPr>
        <w:t>2. В настоящих Правилах используются следующие понятия и термины:</w:t>
      </w:r>
    </w:p>
    <w:p w:rsidR="005A2D6F" w:rsidRDefault="00972405">
      <w:pPr>
        <w:ind w:firstLine="397"/>
        <w:jc w:val="both"/>
      </w:pPr>
      <w:r>
        <w:rPr>
          <w:rStyle w:val="s0"/>
        </w:rPr>
        <w:t>1) расчетная организация - банк второго уровня или организация, осуществляющие отдельные виды банковских операций, с которой клиринговый центр товарной биржи заключил договор о порядке взаимодействия при проведении биржевых торгов и (или) осуществлении расчетов по сделкам, заключенным на биржевых торгах;</w:t>
      </w:r>
    </w:p>
    <w:p w:rsidR="005A2D6F" w:rsidRDefault="00972405">
      <w:pPr>
        <w:ind w:firstLine="397"/>
        <w:jc w:val="both"/>
      </w:pPr>
      <w:r>
        <w:rPr>
          <w:rStyle w:val="s0"/>
        </w:rPr>
        <w:t>2) клиринг - процесс определения, проверки и передачи информации о требованиях и (или) обязательствах членов товарной биржи в результате заключения биржевых сделок, в том числе в результате осуществления неттинга обязательств, и подготовка документов (информации), являющихся основанием прекращения и (или) исполнения таких обязательств;</w:t>
      </w:r>
    </w:p>
    <w:p w:rsidR="005A2D6F" w:rsidRDefault="00972405">
      <w:pPr>
        <w:ind w:firstLine="397"/>
        <w:jc w:val="both"/>
      </w:pPr>
      <w:r>
        <w:rPr>
          <w:rStyle w:val="s0"/>
        </w:rPr>
        <w:t>3) клиринговый центр товарной биржи - самостоятельная клиринговая организация, с которой товарная биржа заключила договор о клиринговом обслуживании;</w:t>
      </w:r>
    </w:p>
    <w:p w:rsidR="005A2D6F" w:rsidRDefault="00972405">
      <w:pPr>
        <w:ind w:firstLine="426"/>
        <w:jc w:val="both"/>
      </w:pPr>
      <w:r>
        <w:rPr>
          <w:rStyle w:val="s0"/>
        </w:rPr>
        <w:t>4) уполномоченный орган - уполномоченный государственный орган в сфере товарных бирж.</w:t>
      </w:r>
    </w:p>
    <w:p w:rsidR="005A2D6F" w:rsidRDefault="00972405">
      <w:pPr>
        <w:ind w:firstLine="397"/>
        <w:jc w:val="both"/>
      </w:pPr>
      <w:r>
        <w:rPr>
          <w:rStyle w:val="s0"/>
        </w:rPr>
        <w:t xml:space="preserve">3. Исключен в соответствии с </w:t>
      </w:r>
      <w:hyperlink r:id="rId16" w:anchor="sub_id=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торговли и интеграции РК от 03.09.19 г. № 30 </w:t>
      </w:r>
      <w:r>
        <w:rPr>
          <w:rStyle w:val="s3"/>
        </w:rPr>
        <w:t>(</w:t>
      </w:r>
      <w:hyperlink r:id="rId17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ind w:firstLine="426"/>
        <w:jc w:val="both"/>
      </w:pPr>
      <w:r>
        <w:t>4. Не допускается клиринговое обслуживание товарной биржи иностранным юридическим лицом с выполнением функций ее клирингового центра.</w:t>
      </w:r>
    </w:p>
    <w:p w:rsidR="005A2D6F" w:rsidRDefault="00972405">
      <w:pPr>
        <w:ind w:firstLine="426"/>
        <w:jc w:val="both"/>
      </w:pPr>
      <w:r>
        <w:t> </w:t>
      </w:r>
    </w:p>
    <w:p w:rsidR="005A2D6F" w:rsidRDefault="00972405">
      <w:pPr>
        <w:ind w:firstLine="426"/>
        <w:jc w:val="both"/>
      </w:pPr>
      <w:r>
        <w:t> </w:t>
      </w:r>
    </w:p>
    <w:p w:rsidR="005A2D6F" w:rsidRDefault="00972405">
      <w:pPr>
        <w:jc w:val="both"/>
      </w:pPr>
      <w:r>
        <w:rPr>
          <w:rStyle w:val="s3"/>
        </w:rPr>
        <w:t xml:space="preserve">Заголовок главы 2 изложен в редакции </w:t>
      </w:r>
      <w:hyperlink r:id="rId18" w:anchor="sub_id=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19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jc w:val="center"/>
      </w:pPr>
      <w:r>
        <w:rPr>
          <w:rStyle w:val="s1"/>
        </w:rPr>
        <w:t>Глава 2. Осуществление клиринговой деятельности</w:t>
      </w:r>
    </w:p>
    <w:p w:rsidR="005A2D6F" w:rsidRDefault="00972405">
      <w:pPr>
        <w:jc w:val="center"/>
      </w:pPr>
      <w:r>
        <w:rPr>
          <w:rStyle w:val="s1"/>
        </w:rPr>
        <w:t> </w:t>
      </w:r>
    </w:p>
    <w:p w:rsidR="005A2D6F" w:rsidRDefault="00972405">
      <w:pPr>
        <w:jc w:val="both"/>
      </w:pPr>
      <w:r>
        <w:rPr>
          <w:rStyle w:val="s3"/>
        </w:rPr>
        <w:t xml:space="preserve">Пункт 5 изложен в редакции </w:t>
      </w:r>
      <w:hyperlink r:id="rId20" w:anchor="sub_id=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21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ind w:firstLine="426"/>
        <w:jc w:val="both"/>
      </w:pPr>
      <w:r>
        <w:rPr>
          <w:rStyle w:val="s0"/>
        </w:rPr>
        <w:t>5. Для осуществления клиринговой деятельности по биржевым сделкам товарная биржа заключает договор о клиринговом обслуживании с клиринговой организацией.</w:t>
      </w:r>
    </w:p>
    <w:p w:rsidR="005A2D6F" w:rsidRDefault="00972405">
      <w:pPr>
        <w:ind w:firstLine="426"/>
        <w:jc w:val="both"/>
      </w:pPr>
      <w:r>
        <w:t>6. Договор товарной биржи с клиринговой организацией содержит условия о порядке взаимодействия сторон, обмене информацией, совершении процедур в процессе осуществления биржевой торговли.</w:t>
      </w:r>
    </w:p>
    <w:p w:rsidR="005A2D6F" w:rsidRDefault="00972405">
      <w:pPr>
        <w:jc w:val="both"/>
      </w:pPr>
      <w:r>
        <w:rPr>
          <w:rStyle w:val="s3"/>
        </w:rPr>
        <w:lastRenderedPageBreak/>
        <w:t xml:space="preserve">Пункт 7 изложен в редакции </w:t>
      </w:r>
      <w:hyperlink r:id="rId22" w:anchor="sub_id=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23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ind w:firstLine="426"/>
        <w:jc w:val="both"/>
      </w:pPr>
      <w:r>
        <w:rPr>
          <w:rStyle w:val="s0"/>
        </w:rPr>
        <w:t>7. В целях осуществления клиринга, расчетов и учета обязательств по биржевым сделкам клиринговый центр товарной биржи заключает с расчетной организацией соответствующий договор о порядке взаимодействия при проведении биржевых торгов и (или) осуществлении расчетов по сделкам, заключенным на биржевых торгах.</w:t>
      </w:r>
    </w:p>
    <w:p w:rsidR="005A2D6F" w:rsidRDefault="00972405">
      <w:pPr>
        <w:ind w:firstLine="426"/>
        <w:jc w:val="both"/>
      </w:pPr>
      <w:r>
        <w:t xml:space="preserve">8. В зависимости от биржевых сделок, по которым осуществляется клиринговая деятельность, клиринговые центры выполняют функции, определенные </w:t>
      </w:r>
      <w:hyperlink r:id="rId24" w:anchor="sub_id=170600" w:history="1">
        <w:r>
          <w:rPr>
            <w:rStyle w:val="a4"/>
          </w:rPr>
          <w:t>пунктом 6 статьи 17</w:t>
        </w:r>
      </w:hyperlink>
      <w:r>
        <w:t xml:space="preserve"> Закона.</w:t>
      </w:r>
    </w:p>
    <w:p w:rsidR="005A2D6F" w:rsidRDefault="00972405">
      <w:pPr>
        <w:ind w:firstLine="426"/>
        <w:jc w:val="both"/>
      </w:pPr>
      <w:r>
        <w:t>9. Для выполнения своих функций клиринговый центр осуществляет сбор, обработку и хранение информации по биржевым сделкам, по которым клиринговый центр осуществляет клиринговое обслуживание, ее сверку и корректировку при наличии расхождений.</w:t>
      </w:r>
    </w:p>
    <w:p w:rsidR="005A2D6F" w:rsidRDefault="00972405">
      <w:pPr>
        <w:ind w:firstLine="426"/>
        <w:jc w:val="both"/>
      </w:pPr>
      <w:r>
        <w:t>10. Клиринговый центр осуществляет хранение информации и документов, связанных с клиринговой деятельностью, и ежедневное резервное копирование такой информации.</w:t>
      </w:r>
    </w:p>
    <w:p w:rsidR="005A2D6F" w:rsidRDefault="00972405">
      <w:pPr>
        <w:ind w:firstLine="426"/>
        <w:jc w:val="both"/>
      </w:pPr>
      <w:r>
        <w:t>Резервные копии подлежат защите от несанкционированного доступа к информации и хранятся в резервном техническом центре клирингового центра до их замены обновленными резервными копиями.</w:t>
      </w:r>
    </w:p>
    <w:p w:rsidR="005A2D6F" w:rsidRDefault="00972405">
      <w:pPr>
        <w:jc w:val="both"/>
      </w:pPr>
      <w:r>
        <w:rPr>
          <w:rStyle w:val="s3"/>
        </w:rPr>
        <w:t xml:space="preserve">Пункт 11 изложен в редакции </w:t>
      </w:r>
      <w:hyperlink r:id="rId25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26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ind w:firstLine="397"/>
        <w:jc w:val="both"/>
      </w:pPr>
      <w:r>
        <w:rPr>
          <w:rStyle w:val="s0"/>
        </w:rPr>
        <w:t>11. Клиринговый центр товарной биржи обеспечивает постоянную готовность резервного технического центра к немедленной активизации. Резервный технический центр соответствует следующим требованиям:</w:t>
      </w:r>
    </w:p>
    <w:p w:rsidR="005A2D6F" w:rsidRDefault="00972405">
      <w:pPr>
        <w:ind w:firstLine="397"/>
        <w:jc w:val="both"/>
      </w:pPr>
      <w:r>
        <w:rPr>
          <w:rStyle w:val="s0"/>
        </w:rPr>
        <w:t>1) содержит резервные копии информации, связанной с клиринговой деятельностью, идентичные основной информации;</w:t>
      </w:r>
    </w:p>
    <w:p w:rsidR="005A2D6F" w:rsidRDefault="00972405">
      <w:pPr>
        <w:ind w:firstLine="397"/>
        <w:jc w:val="both"/>
      </w:pPr>
      <w:r>
        <w:rPr>
          <w:rStyle w:val="s0"/>
        </w:rPr>
        <w:t>2) содержит копию программно-технического обеспечения клирингового центра товарной биржи, используемого в процессе осуществления клиринговой деятельности по биржевым сделкам;</w:t>
      </w:r>
    </w:p>
    <w:p w:rsidR="005A2D6F" w:rsidRDefault="00972405">
      <w:pPr>
        <w:ind w:firstLine="397"/>
        <w:jc w:val="both"/>
      </w:pPr>
      <w:r>
        <w:rPr>
          <w:rStyle w:val="s0"/>
        </w:rPr>
        <w:t>3) обеспечивается коммуникациями, необходимыми для осуществления деятельности клирингового центра товарной биржи;</w:t>
      </w:r>
    </w:p>
    <w:p w:rsidR="005A2D6F" w:rsidRDefault="00972405">
      <w:pPr>
        <w:ind w:firstLine="426"/>
        <w:jc w:val="both"/>
      </w:pPr>
      <w:r>
        <w:rPr>
          <w:rStyle w:val="s0"/>
        </w:rPr>
        <w:t>4) при невозможности осуществления клиринга по месту нахождения клирингового центра товарной биржи представляет возможность осуществления клиринга не позднее, чем на следующий рабочий день после возникновения данной ситуации.</w:t>
      </w:r>
    </w:p>
    <w:p w:rsidR="005A2D6F" w:rsidRDefault="00972405">
      <w:pPr>
        <w:ind w:firstLine="426"/>
        <w:jc w:val="both"/>
      </w:pPr>
      <w:r>
        <w:t> </w:t>
      </w:r>
    </w:p>
    <w:p w:rsidR="005A2D6F" w:rsidRDefault="00972405">
      <w:pPr>
        <w:ind w:firstLine="426"/>
        <w:jc w:val="both"/>
      </w:pPr>
      <w:r>
        <w:t> </w:t>
      </w:r>
    </w:p>
    <w:p w:rsidR="005A2D6F" w:rsidRDefault="00972405">
      <w:pPr>
        <w:jc w:val="both"/>
      </w:pPr>
      <w:r>
        <w:rPr>
          <w:rStyle w:val="s3"/>
        </w:rPr>
        <w:t xml:space="preserve">Заголовок главы 3 изложен в редакции </w:t>
      </w:r>
      <w:hyperlink r:id="rId27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28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jc w:val="center"/>
      </w:pPr>
      <w:r>
        <w:rPr>
          <w:rStyle w:val="s1"/>
        </w:rPr>
        <w:t>Глава 3. Раскрытие и сохранность информации клиринговым центром</w:t>
      </w:r>
    </w:p>
    <w:p w:rsidR="005A2D6F" w:rsidRDefault="00972405">
      <w:pPr>
        <w:jc w:val="center"/>
      </w:pPr>
      <w:r>
        <w:rPr>
          <w:rStyle w:val="s1"/>
        </w:rPr>
        <w:t> </w:t>
      </w:r>
    </w:p>
    <w:p w:rsidR="005A2D6F" w:rsidRDefault="00972405">
      <w:pPr>
        <w:jc w:val="both"/>
      </w:pPr>
      <w:r>
        <w:rPr>
          <w:rStyle w:val="s3"/>
        </w:rPr>
        <w:t xml:space="preserve">Пункт 12 изложен в редакции </w:t>
      </w:r>
      <w:hyperlink r:id="rId29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30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ind w:firstLine="426"/>
        <w:jc w:val="both"/>
      </w:pPr>
      <w:r>
        <w:rPr>
          <w:rStyle w:val="s0"/>
        </w:rPr>
        <w:t>12. Клиринговый центр товарной биржи обеспечивает раскрытие информации о своей деятельности и свободный доступ к ознакомлению с информацией, не составляющей коммерческую тайну, всем заинтересованным лицам путем публикации (размещения) на постоянной основе указанной информации в средствах массовой информации.</w:t>
      </w:r>
    </w:p>
    <w:p w:rsidR="005A2D6F" w:rsidRDefault="00972405">
      <w:pPr>
        <w:ind w:firstLine="426"/>
        <w:jc w:val="both"/>
      </w:pPr>
      <w:r>
        <w:t>13. На интернет-ресурсе клиринговой организации или обслуживаемой ею товарной биржи обеспечивается раскрытие следующей информации:</w:t>
      </w:r>
    </w:p>
    <w:p w:rsidR="005A2D6F" w:rsidRDefault="00972405">
      <w:pPr>
        <w:ind w:firstLine="426"/>
        <w:jc w:val="both"/>
      </w:pPr>
      <w:r>
        <w:t xml:space="preserve">1) общей информации о клиринговой организации (состав органов клиринговой организации, фамилии, имена, при наличии отчества руководящих работников </w:t>
      </w:r>
      <w:r>
        <w:lastRenderedPageBreak/>
        <w:t>клиринговой организации, место нахождения клиринговой организации, контактные телефоны);</w:t>
      </w:r>
    </w:p>
    <w:p w:rsidR="005A2D6F" w:rsidRDefault="00972405">
      <w:pPr>
        <w:ind w:firstLine="426"/>
        <w:jc w:val="both"/>
      </w:pPr>
      <w:r>
        <w:t>2) учредительных документов клиринговой организации;</w:t>
      </w:r>
    </w:p>
    <w:p w:rsidR="005A2D6F" w:rsidRDefault="00972405">
      <w:pPr>
        <w:ind w:firstLine="426"/>
        <w:jc w:val="both"/>
      </w:pPr>
      <w:r>
        <w:t>3) годовой финансовой отчетности клиринговой организации, включая финансовую отчетность, подтвержденную аудиторской организацией, и аудиторского отчета;</w:t>
      </w:r>
    </w:p>
    <w:p w:rsidR="005A2D6F" w:rsidRDefault="00972405">
      <w:pPr>
        <w:ind w:firstLine="426"/>
        <w:jc w:val="both"/>
      </w:pPr>
      <w:r>
        <w:t>4) наименование товарных бирж, обслуживаемых клиринговой организацией;</w:t>
      </w:r>
    </w:p>
    <w:p w:rsidR="005A2D6F" w:rsidRDefault="00972405">
      <w:pPr>
        <w:ind w:firstLine="426"/>
        <w:jc w:val="both"/>
      </w:pPr>
      <w:r>
        <w:t>5) наименование расчетной(ых) организации(ий), в которой(ых) обслуживается товарная биржа/клиринговая организация.</w:t>
      </w:r>
    </w:p>
    <w:p w:rsidR="005A2D6F" w:rsidRDefault="00972405">
      <w:pPr>
        <w:ind w:firstLine="426"/>
        <w:jc w:val="both"/>
      </w:pPr>
      <w:r>
        <w:t>14. Клиринговый центр соблюдает конфиденциальность следующей информации:</w:t>
      </w:r>
    </w:p>
    <w:p w:rsidR="005A2D6F" w:rsidRDefault="00972405">
      <w:pPr>
        <w:ind w:firstLine="426"/>
        <w:jc w:val="both"/>
      </w:pPr>
      <w:r>
        <w:t>1) о суммах денег и прочих обязательств, учитываемых на клиринговых регистрах учета члена товарной биржи;</w:t>
      </w:r>
    </w:p>
    <w:p w:rsidR="005A2D6F" w:rsidRDefault="00972405">
      <w:pPr>
        <w:ind w:firstLine="426"/>
        <w:jc w:val="both"/>
      </w:pPr>
      <w:r>
        <w:t>2) о поручениях и иных документах, поданных членом товарной биржи клиринговому центру или в расчетную организацию;</w:t>
      </w:r>
    </w:p>
    <w:p w:rsidR="005A2D6F" w:rsidRDefault="00972405">
      <w:pPr>
        <w:ind w:firstLine="426"/>
        <w:jc w:val="both"/>
      </w:pPr>
      <w:r>
        <w:t>3) об учитываемых клиринговым центром обязательствах членов товарной биржи и обязательствах клирингового центра перед членами товарной биржи;</w:t>
      </w:r>
    </w:p>
    <w:p w:rsidR="005A2D6F" w:rsidRDefault="00972405">
      <w:pPr>
        <w:ind w:firstLine="426"/>
        <w:jc w:val="both"/>
      </w:pPr>
      <w:r>
        <w:t>4) о биржевых сделках, стороной которых является член товарной биржи.</w:t>
      </w:r>
    </w:p>
    <w:p w:rsidR="005A2D6F" w:rsidRDefault="00972405">
      <w:pPr>
        <w:ind w:firstLine="426"/>
        <w:jc w:val="both"/>
      </w:pPr>
      <w:r>
        <w:t>Клиринговый центр раскрывает данную информацию государственным органам, уполномоченным в соответствии с законодательством Республики Казахстан на получение сведений, составляющих коммерческую тайну, на основании их письменных запросов.</w:t>
      </w:r>
    </w:p>
    <w:p w:rsidR="005A2D6F" w:rsidRDefault="00972405">
      <w:pPr>
        <w:ind w:firstLine="426"/>
      </w:pPr>
      <w:r>
        <w:t> </w:t>
      </w:r>
    </w:p>
    <w:p w:rsidR="005A2D6F" w:rsidRDefault="00972405">
      <w:pPr>
        <w:jc w:val="both"/>
      </w:pPr>
      <w:bookmarkStart w:id="3" w:name="SUB2"/>
      <w:bookmarkEnd w:id="3"/>
      <w:r>
        <w:rPr>
          <w:rStyle w:val="s3"/>
        </w:rPr>
        <w:t xml:space="preserve">Приложение 2 </w:t>
      </w:r>
      <w:hyperlink w:anchor="sub44" w:history="1">
        <w:r>
          <w:rPr>
            <w:rStyle w:val="a4"/>
            <w:i/>
            <w:iCs/>
          </w:rPr>
          <w:t>введено в действие</w:t>
        </w:r>
      </w:hyperlink>
      <w:r>
        <w:rPr>
          <w:rStyle w:val="s3"/>
        </w:rPr>
        <w:t xml:space="preserve"> с 1 января 2017 года</w:t>
      </w:r>
    </w:p>
    <w:p w:rsidR="005A2D6F" w:rsidRDefault="00972405">
      <w:pPr>
        <w:ind w:firstLine="400"/>
        <w:jc w:val="right"/>
      </w:pPr>
      <w:r>
        <w:rPr>
          <w:rStyle w:val="s0"/>
        </w:rPr>
        <w:t>Приложение 2</w:t>
      </w:r>
    </w:p>
    <w:p w:rsidR="005A2D6F" w:rsidRDefault="00972405">
      <w:pPr>
        <w:ind w:firstLine="400"/>
        <w:jc w:val="right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и.о. Министра</w:t>
      </w:r>
    </w:p>
    <w:p w:rsidR="005A2D6F" w:rsidRDefault="00972405">
      <w:pPr>
        <w:ind w:firstLine="400"/>
        <w:jc w:val="right"/>
      </w:pPr>
      <w:r>
        <w:rPr>
          <w:rStyle w:val="s0"/>
        </w:rPr>
        <w:t>национальной экономики</w:t>
      </w:r>
    </w:p>
    <w:p w:rsidR="005A2D6F" w:rsidRDefault="00972405">
      <w:pPr>
        <w:ind w:firstLine="400"/>
        <w:jc w:val="right"/>
      </w:pPr>
      <w:r>
        <w:rPr>
          <w:rStyle w:val="s0"/>
        </w:rPr>
        <w:t>Республики Казахстан</w:t>
      </w:r>
    </w:p>
    <w:p w:rsidR="005A2D6F" w:rsidRDefault="00972405">
      <w:pPr>
        <w:ind w:firstLine="400"/>
        <w:jc w:val="right"/>
      </w:pPr>
      <w:r>
        <w:rPr>
          <w:rStyle w:val="s0"/>
        </w:rPr>
        <w:t>от 25 ноября 2015 года № 729</w:t>
      </w:r>
    </w:p>
    <w:p w:rsidR="005A2D6F" w:rsidRDefault="00972405">
      <w:pPr>
        <w:ind w:firstLine="400"/>
        <w:jc w:val="right"/>
      </w:pPr>
      <w:r>
        <w:rPr>
          <w:rStyle w:val="s0"/>
        </w:rPr>
        <w:t> </w:t>
      </w:r>
    </w:p>
    <w:p w:rsidR="005A2D6F" w:rsidRDefault="00972405">
      <w:pPr>
        <w:ind w:firstLine="400"/>
        <w:jc w:val="right"/>
      </w:pPr>
      <w:r>
        <w:rPr>
          <w:rStyle w:val="s0"/>
        </w:rPr>
        <w:t> </w:t>
      </w:r>
    </w:p>
    <w:p w:rsidR="005A2D6F" w:rsidRDefault="00972405">
      <w:pPr>
        <w:spacing w:after="240"/>
        <w:jc w:val="center"/>
      </w:pPr>
      <w:r>
        <w:rPr>
          <w:rStyle w:val="s1"/>
        </w:rPr>
        <w:t xml:space="preserve">Требования к аппаратно-программному комплексу </w:t>
      </w:r>
      <w:r>
        <w:rPr>
          <w:rStyle w:val="s1"/>
        </w:rPr>
        <w:br/>
        <w:t>клирингового центра товарной биржи</w:t>
      </w:r>
    </w:p>
    <w:p w:rsidR="005A2D6F" w:rsidRDefault="00972405">
      <w:pPr>
        <w:jc w:val="both"/>
      </w:pPr>
      <w:r>
        <w:rPr>
          <w:rStyle w:val="s3"/>
        </w:rPr>
        <w:t xml:space="preserve">Заголовок главы 1 изложен в редакции </w:t>
      </w:r>
      <w:hyperlink r:id="rId31" w:anchor="sub_id=3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32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jc w:val="center"/>
      </w:pPr>
      <w:r>
        <w:rPr>
          <w:rStyle w:val="s1"/>
        </w:rPr>
        <w:t>1. Общие положения</w:t>
      </w:r>
    </w:p>
    <w:p w:rsidR="005A2D6F" w:rsidRDefault="00972405">
      <w:pPr>
        <w:jc w:val="center"/>
      </w:pPr>
      <w:r>
        <w:rPr>
          <w:rStyle w:val="s1"/>
        </w:rPr>
        <w:t> </w:t>
      </w:r>
    </w:p>
    <w:p w:rsidR="005A2D6F" w:rsidRDefault="00972405">
      <w:pPr>
        <w:ind w:firstLine="400"/>
        <w:jc w:val="both"/>
      </w:pPr>
      <w:r>
        <w:rPr>
          <w:rStyle w:val="s0"/>
        </w:rPr>
        <w:t xml:space="preserve">1. Настоящие Требования к аппаратно-программному комплексу клирингового центра товарной биржи (далее - Требования) разработаны в соответствии с </w:t>
      </w:r>
      <w:hyperlink r:id="rId3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4 мая 2009 года «О товарных биржах» и определяют требования к аппаратно-программному комплексу клирингового центра товарной биржи.</w:t>
      </w:r>
    </w:p>
    <w:p w:rsidR="005A2D6F" w:rsidRDefault="00972405">
      <w:pPr>
        <w:ind w:firstLine="400"/>
        <w:jc w:val="both"/>
      </w:pPr>
      <w:r>
        <w:rPr>
          <w:rStyle w:val="s0"/>
        </w:rPr>
        <w:t>2. Настоящие Требования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</w:t>
      </w:r>
    </w:p>
    <w:p w:rsidR="005A2D6F" w:rsidRDefault="00972405">
      <w:pPr>
        <w:ind w:firstLine="400"/>
        <w:jc w:val="both"/>
      </w:pPr>
      <w:r>
        <w:rPr>
          <w:rStyle w:val="s0"/>
        </w:rPr>
        <w:t> </w:t>
      </w:r>
    </w:p>
    <w:p w:rsidR="005A2D6F" w:rsidRDefault="00972405">
      <w:pPr>
        <w:ind w:firstLine="400"/>
        <w:jc w:val="both"/>
      </w:pPr>
      <w:r>
        <w:rPr>
          <w:rStyle w:val="s0"/>
        </w:rPr>
        <w:t> </w:t>
      </w:r>
    </w:p>
    <w:p w:rsidR="005A2D6F" w:rsidRDefault="00972405">
      <w:pPr>
        <w:jc w:val="both"/>
      </w:pPr>
      <w:r>
        <w:rPr>
          <w:rStyle w:val="s3"/>
        </w:rPr>
        <w:lastRenderedPageBreak/>
        <w:t xml:space="preserve">Заголовок главы 2 изложен в редакции </w:t>
      </w:r>
      <w:hyperlink r:id="rId34" w:anchor="sub_id=3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35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5A2D6F" w:rsidRDefault="00972405">
      <w:pPr>
        <w:jc w:val="center"/>
      </w:pPr>
      <w:r>
        <w:rPr>
          <w:rStyle w:val="s1"/>
        </w:rPr>
        <w:t xml:space="preserve">2. Требования к аппаратно-программному комплексу </w:t>
      </w:r>
      <w:r>
        <w:rPr>
          <w:rStyle w:val="s1"/>
        </w:rPr>
        <w:br/>
        <w:t>клирингового центра товарной биржи</w:t>
      </w:r>
    </w:p>
    <w:p w:rsidR="005A2D6F" w:rsidRDefault="00972405">
      <w:pPr>
        <w:jc w:val="center"/>
      </w:pPr>
      <w:r>
        <w:rPr>
          <w:rStyle w:val="s1"/>
        </w:rPr>
        <w:t> </w:t>
      </w:r>
    </w:p>
    <w:p w:rsidR="005A2D6F" w:rsidRDefault="00972405">
      <w:pPr>
        <w:ind w:firstLine="400"/>
        <w:jc w:val="both"/>
      </w:pPr>
      <w:r>
        <w:rPr>
          <w:rStyle w:val="s0"/>
        </w:rPr>
        <w:t>3. Для осуществления клиринговой деятельности клиринговый центр имеет в пользовании аппаратно-программный комплекс, отвечающий настоящим Требованиям и обеспечивающий сохранность и защиту информации от несанкционированного доступа к данным, хранящимся в клиринговом центре.</w:t>
      </w:r>
    </w:p>
    <w:p w:rsidR="005A2D6F" w:rsidRDefault="00972405">
      <w:pPr>
        <w:ind w:firstLine="400"/>
        <w:jc w:val="both"/>
      </w:pPr>
      <w:r>
        <w:rPr>
          <w:rStyle w:val="s0"/>
        </w:rPr>
        <w:t>4. Аппаратно-программный комплекс клирингового центра состоит из рабочих станций (компьютерной базы), серверного аппаратного обеспечения, программного обеспечения и обеспечивает:</w:t>
      </w:r>
    </w:p>
    <w:p w:rsidR="005A2D6F" w:rsidRDefault="00972405">
      <w:pPr>
        <w:ind w:firstLine="400"/>
        <w:jc w:val="both"/>
      </w:pPr>
      <w:r>
        <w:rPr>
          <w:rStyle w:val="s0"/>
        </w:rPr>
        <w:t>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при:</w:t>
      </w:r>
    </w:p>
    <w:p w:rsidR="005A2D6F" w:rsidRDefault="00972405">
      <w:pPr>
        <w:ind w:firstLine="400"/>
        <w:jc w:val="both"/>
      </w:pPr>
      <w:r>
        <w:rPr>
          <w:rStyle w:val="s0"/>
        </w:rPr>
        <w:t>полном или частичном отключении электропитания на любом участке программного обеспечения в любое время;</w:t>
      </w:r>
    </w:p>
    <w:p w:rsidR="005A2D6F" w:rsidRDefault="00972405">
      <w:pPr>
        <w:ind w:firstLine="400"/>
        <w:jc w:val="both"/>
      </w:pPr>
      <w:r>
        <w:rPr>
          <w:rStyle w:val="s0"/>
        </w:rPr>
        <w:t>аварии сетей, телекоммуникаций, разрыве установленных физических и виртуальных соединений на любом этапе выполнения операции обмена данными;</w:t>
      </w:r>
    </w:p>
    <w:p w:rsidR="005A2D6F" w:rsidRDefault="00972405">
      <w:pPr>
        <w:ind w:firstLine="400"/>
        <w:jc w:val="both"/>
      </w:pPr>
      <w:r>
        <w:rPr>
          <w:rStyle w:val="s0"/>
        </w:rPr>
        <w:t>попытке несанкционированного доступа к информации программного обеспечения;</w:t>
      </w:r>
    </w:p>
    <w:p w:rsidR="005A2D6F" w:rsidRDefault="00972405">
      <w:pPr>
        <w:ind w:firstLine="400"/>
        <w:jc w:val="both"/>
      </w:pPr>
      <w:r>
        <w:rPr>
          <w:rStyle w:val="s0"/>
        </w:rPr>
        <w:t>2) многоуровневый доступ к входным данным, функциям, операциям, отчетам, реализованным в программном обеспечении. Программное обеспечение предусматривает не менее двух основных уровней доступа: «администратор» и «пользователь»;</w:t>
      </w:r>
    </w:p>
    <w:p w:rsidR="005A2D6F" w:rsidRDefault="00972405">
      <w:pPr>
        <w:ind w:firstLine="400"/>
        <w:jc w:val="both"/>
      </w:pPr>
      <w:r>
        <w:rPr>
          <w:rStyle w:val="s0"/>
        </w:rPr>
        <w:t>3) контроль полноты вводимых данных (в случае выполнения функций или операций без полного заполнения всех полей программа обеспечивает выдачу соответствующего уведомления);</w:t>
      </w:r>
    </w:p>
    <w:p w:rsidR="005A2D6F" w:rsidRDefault="00972405">
      <w:pPr>
        <w:ind w:firstLine="400"/>
        <w:jc w:val="both"/>
      </w:pPr>
      <w:r>
        <w:rPr>
          <w:rStyle w:val="s0"/>
        </w:rPr>
        <w:t>4) поиск информации по индивидуальному запросу и по любым критериям, а также сортировку информации по любым параметрам и возможность просмотра информации за предыдущие даты;</w:t>
      </w:r>
    </w:p>
    <w:p w:rsidR="005A2D6F" w:rsidRDefault="00972405">
      <w:pPr>
        <w:ind w:firstLine="400"/>
        <w:jc w:val="both"/>
      </w:pPr>
      <w:r>
        <w:rPr>
          <w:rStyle w:val="s0"/>
        </w:rPr>
        <w:t>5) обработку и хранение информации по датам без сокращений;</w:t>
      </w:r>
    </w:p>
    <w:p w:rsidR="005A2D6F" w:rsidRDefault="00972405">
      <w:pPr>
        <w:ind w:firstLine="400"/>
        <w:jc w:val="both"/>
      </w:pPr>
      <w:r>
        <w:rPr>
          <w:rStyle w:val="s0"/>
        </w:rPr>
        <w:t>6) автоматизированное формирование форм отчетов, установленных нормативными правовыми актами, а также уведомлений, справок, выписок с лицевого счета, отчетов о проведенных операциях и документов, подтверждающих осуществление информационных операций;</w:t>
      </w:r>
    </w:p>
    <w:p w:rsidR="005A2D6F" w:rsidRDefault="00972405">
      <w:pPr>
        <w:ind w:firstLine="400"/>
        <w:jc w:val="both"/>
      </w:pPr>
      <w:r>
        <w:rPr>
          <w:rStyle w:val="s0"/>
        </w:rPr>
        <w:t>7) возможность архивации (восстановление данных из архива);</w:t>
      </w:r>
    </w:p>
    <w:p w:rsidR="005A2D6F" w:rsidRDefault="00972405">
      <w:pPr>
        <w:ind w:firstLine="400"/>
        <w:jc w:val="both"/>
      </w:pPr>
      <w:r>
        <w:rPr>
          <w:rStyle w:val="s0"/>
        </w:rPr>
        <w:t>8) возможность вывода выходных документов на экран, принтер или в файл;</w:t>
      </w:r>
    </w:p>
    <w:p w:rsidR="005A2D6F" w:rsidRDefault="00972405">
      <w:pPr>
        <w:ind w:firstLine="400"/>
        <w:jc w:val="both"/>
      </w:pPr>
      <w:r>
        <w:rPr>
          <w:rStyle w:val="s0"/>
        </w:rPr>
        <w:t>9) возможность обмена электронными документами;</w:t>
      </w:r>
    </w:p>
    <w:p w:rsidR="005A2D6F" w:rsidRDefault="00972405">
      <w:pPr>
        <w:ind w:firstLine="400"/>
        <w:jc w:val="both"/>
      </w:pPr>
      <w:r>
        <w:rPr>
          <w:rStyle w:val="s0"/>
        </w:rPr>
        <w:t>10) бесперебойное и непрерывное осуществление работы в случае сбоев в программном обеспечении;</w:t>
      </w:r>
    </w:p>
    <w:p w:rsidR="005A2D6F" w:rsidRDefault="00972405">
      <w:pPr>
        <w:ind w:firstLine="400"/>
        <w:jc w:val="both"/>
      </w:pPr>
      <w:r>
        <w:rPr>
          <w:rStyle w:val="s0"/>
        </w:rPr>
        <w:t>11) автоматизированный сбор, обработку и хранение информации по сделкам, по которым данная клиринговая организация осуществляет клиринговое обслуживание, ее сверку и корректировку;</w:t>
      </w:r>
    </w:p>
    <w:p w:rsidR="005A2D6F" w:rsidRDefault="00972405">
      <w:pPr>
        <w:ind w:firstLine="400"/>
        <w:jc w:val="both"/>
      </w:pPr>
      <w:r>
        <w:rPr>
          <w:rStyle w:val="s0"/>
        </w:rPr>
        <w:t>12) учет параметров всех заключенных сделок в торговой системе организатора торгов и (или) на товарной бирже, принятых на клиринговое обслуживание;</w:t>
      </w:r>
    </w:p>
    <w:p w:rsidR="005A2D6F" w:rsidRDefault="00972405">
      <w:pPr>
        <w:ind w:firstLine="400"/>
        <w:jc w:val="both"/>
      </w:pPr>
      <w:r>
        <w:rPr>
          <w:rStyle w:val="s0"/>
        </w:rPr>
        <w:t>13) формирование отчета по результатам клиринговой деятельности для членов товарной биржи;</w:t>
      </w:r>
    </w:p>
    <w:p w:rsidR="005A2D6F" w:rsidRDefault="00972405">
      <w:pPr>
        <w:ind w:firstLine="400"/>
        <w:jc w:val="both"/>
      </w:pPr>
      <w:r>
        <w:rPr>
          <w:rStyle w:val="s0"/>
        </w:rPr>
        <w:t>14) автоматическое проведение следующих операций:</w:t>
      </w:r>
    </w:p>
    <w:p w:rsidR="005A2D6F" w:rsidRDefault="00972405">
      <w:pPr>
        <w:ind w:firstLine="400"/>
        <w:jc w:val="both"/>
      </w:pPr>
      <w:r>
        <w:rPr>
          <w:rStyle w:val="s0"/>
        </w:rPr>
        <w:t>раздельный учет средств члена товарной биржи;</w:t>
      </w:r>
    </w:p>
    <w:p w:rsidR="005A2D6F" w:rsidRDefault="00972405">
      <w:pPr>
        <w:ind w:firstLine="400"/>
        <w:jc w:val="both"/>
      </w:pPr>
      <w:r>
        <w:rPr>
          <w:rStyle w:val="s0"/>
        </w:rPr>
        <w:lastRenderedPageBreak/>
        <w:t>блокирование средств члена товарной биржи по результатам сделок и снятие блокирования в результате их исполнения;</w:t>
      </w:r>
    </w:p>
    <w:p w:rsidR="005A2D6F" w:rsidRDefault="00972405">
      <w:pPr>
        <w:ind w:firstLine="400"/>
        <w:jc w:val="both"/>
      </w:pPr>
      <w:r>
        <w:rPr>
          <w:rStyle w:val="s0"/>
        </w:rPr>
        <w:t>допуск членов товарной биржи к торгам;</w:t>
      </w:r>
    </w:p>
    <w:p w:rsidR="005A2D6F" w:rsidRDefault="00972405">
      <w:pPr>
        <w:ind w:firstLine="400"/>
        <w:jc w:val="both"/>
      </w:pPr>
      <w:r>
        <w:rPr>
          <w:rStyle w:val="s0"/>
        </w:rPr>
        <w:t>15) сохранность изменяемых данных члена товарной биржи и поиск зарегистрированного лица по прежним данным;</w:t>
      </w:r>
    </w:p>
    <w:p w:rsidR="005A2D6F" w:rsidRDefault="00972405">
      <w:pPr>
        <w:ind w:firstLine="400"/>
        <w:jc w:val="both"/>
      </w:pPr>
      <w:r>
        <w:rPr>
          <w:rStyle w:val="s0"/>
        </w:rPr>
        <w:t>16) сохранность информации по всем операциям, проведенным по клиринговому регистру учета за весь период;</w:t>
      </w:r>
    </w:p>
    <w:p w:rsidR="005A2D6F" w:rsidRDefault="00972405">
      <w:pPr>
        <w:ind w:firstLine="400"/>
        <w:jc w:val="both"/>
      </w:pPr>
      <w:r>
        <w:rPr>
          <w:rStyle w:val="s0"/>
        </w:rPr>
        <w:t>17) передача информации клиентам, расчетным организациям, товарной бирже и уполномоченному органу по защищенным каналам связи с использованием электронной цифровой подписи;</w:t>
      </w:r>
    </w:p>
    <w:p w:rsidR="005A2D6F" w:rsidRDefault="00972405">
      <w:pPr>
        <w:ind w:firstLine="400"/>
        <w:jc w:val="both"/>
      </w:pPr>
      <w:r>
        <w:rPr>
          <w:rStyle w:val="s0"/>
        </w:rPr>
        <w:t>18) идентифицировать факт получения документа от лица, уполномоченного отдавать приказы для совершения операций по открытому им клиринговому регистру учета;</w:t>
      </w:r>
    </w:p>
    <w:p w:rsidR="005A2D6F" w:rsidRDefault="00972405">
      <w:pPr>
        <w:ind w:firstLine="400"/>
        <w:jc w:val="both"/>
      </w:pPr>
      <w:r>
        <w:rPr>
          <w:rStyle w:val="s0"/>
        </w:rPr>
        <w:t>19) проведение операций по клиринговым регистрам учета только на основании приказов уполномоченных лиц;</w:t>
      </w:r>
    </w:p>
    <w:p w:rsidR="005A2D6F" w:rsidRDefault="00972405">
      <w:pPr>
        <w:ind w:firstLine="400"/>
        <w:jc w:val="both"/>
      </w:pPr>
      <w:r>
        <w:rPr>
          <w:rStyle w:val="s0"/>
        </w:rPr>
        <w:t>20) ведение в произвольной форме журнала аудита в процессе функционирования программного обеспечения.</w:t>
      </w:r>
    </w:p>
    <w:p w:rsidR="005A2D6F" w:rsidRDefault="00972405">
      <w:pPr>
        <w:ind w:firstLine="400"/>
        <w:jc w:val="both"/>
      </w:pPr>
      <w:r>
        <w:rPr>
          <w:rStyle w:val="s0"/>
        </w:rPr>
        <w:t>5. Сохранность информации аппаратно-программного комплекса клирингового центра обеспечивается путем ежедневного автоматического сохранения резервной копии базы данных и системного журнала транзакций на дополнительном сервере.</w:t>
      </w:r>
    </w:p>
    <w:p w:rsidR="005A2D6F" w:rsidRDefault="00972405">
      <w:pPr>
        <w:ind w:firstLine="400"/>
        <w:jc w:val="both"/>
      </w:pPr>
      <w:r>
        <w:rPr>
          <w:rStyle w:val="s0"/>
        </w:rPr>
        <w:t>6. Защита информации клирингового центра обеспечивается основными уровнями доступа - «администратор» и «пользователь»:</w:t>
      </w:r>
    </w:p>
    <w:p w:rsidR="005A2D6F" w:rsidRDefault="00972405">
      <w:pPr>
        <w:ind w:firstLine="400"/>
        <w:jc w:val="both"/>
      </w:pPr>
      <w:r>
        <w:rPr>
          <w:rStyle w:val="s0"/>
        </w:rPr>
        <w:t>1) уровень доступа - «администратор» включает и себя:</w:t>
      </w:r>
    </w:p>
    <w:p w:rsidR="005A2D6F" w:rsidRDefault="00972405">
      <w:pPr>
        <w:ind w:firstLine="400"/>
        <w:jc w:val="both"/>
      </w:pPr>
      <w:r>
        <w:rPr>
          <w:rStyle w:val="s0"/>
        </w:rPr>
        <w:t>определение групп пользователей, разделение их на категории по выполняемым функциям и установление им уровней доступа к информации, смена паролей;</w:t>
      </w:r>
    </w:p>
    <w:p w:rsidR="005A2D6F" w:rsidRDefault="00972405">
      <w:pPr>
        <w:ind w:firstLine="400"/>
        <w:jc w:val="both"/>
      </w:pPr>
      <w:r>
        <w:rPr>
          <w:rStyle w:val="s0"/>
        </w:rPr>
        <w:t>блокирование доступа пользователей к данным и функциям программного обеспечения;</w:t>
      </w:r>
    </w:p>
    <w:p w:rsidR="005A2D6F" w:rsidRDefault="00972405">
      <w:pPr>
        <w:ind w:firstLine="400"/>
        <w:jc w:val="both"/>
      </w:pPr>
      <w:r>
        <w:rPr>
          <w:rStyle w:val="s0"/>
        </w:rPr>
        <w:t>настройка параметров функционирования программного обеспечения;</w:t>
      </w:r>
    </w:p>
    <w:p w:rsidR="005A2D6F" w:rsidRDefault="00972405">
      <w:pPr>
        <w:ind w:firstLine="400"/>
        <w:jc w:val="both"/>
      </w:pPr>
      <w:r>
        <w:rPr>
          <w:rStyle w:val="s0"/>
        </w:rPr>
        <w:t>просмотр подключенных к базе данных программного обеспечения пользователей;</w:t>
      </w:r>
    </w:p>
    <w:p w:rsidR="005A2D6F" w:rsidRDefault="00972405">
      <w:pPr>
        <w:ind w:firstLine="400"/>
        <w:jc w:val="both"/>
      </w:pPr>
      <w:r>
        <w:rPr>
          <w:rStyle w:val="s0"/>
        </w:rPr>
        <w:t>открытие (закрытие) операционного дня;</w:t>
      </w:r>
    </w:p>
    <w:p w:rsidR="005A2D6F" w:rsidRDefault="00972405">
      <w:pPr>
        <w:ind w:firstLine="400"/>
        <w:jc w:val="both"/>
      </w:pPr>
      <w:r>
        <w:rPr>
          <w:rStyle w:val="s0"/>
        </w:rPr>
        <w:t>отключение пользователей от базы данных программного обеспечения в случае необходимости;</w:t>
      </w:r>
    </w:p>
    <w:p w:rsidR="005A2D6F" w:rsidRDefault="00972405">
      <w:pPr>
        <w:ind w:firstLine="400"/>
        <w:jc w:val="both"/>
      </w:pPr>
      <w:r>
        <w:rPr>
          <w:rStyle w:val="s0"/>
        </w:rPr>
        <w:t>смена рабочей даты;</w:t>
      </w:r>
    </w:p>
    <w:p w:rsidR="005A2D6F" w:rsidRDefault="00972405">
      <w:pPr>
        <w:ind w:firstLine="400"/>
        <w:jc w:val="both"/>
      </w:pPr>
      <w:r>
        <w:rPr>
          <w:rStyle w:val="s0"/>
        </w:rPr>
        <w:t>создание архивных и резервных копий на съемных носителях данных долговременного хранения;</w:t>
      </w:r>
    </w:p>
    <w:p w:rsidR="005A2D6F" w:rsidRDefault="00972405">
      <w:pPr>
        <w:ind w:firstLine="400"/>
        <w:jc w:val="both"/>
      </w:pPr>
      <w:r>
        <w:rPr>
          <w:rStyle w:val="s0"/>
        </w:rPr>
        <w:t>2) уровень доступа - «пользователь» включает в себя:</w:t>
      </w:r>
    </w:p>
    <w:p w:rsidR="005A2D6F" w:rsidRDefault="00972405">
      <w:pPr>
        <w:ind w:firstLine="400"/>
        <w:jc w:val="both"/>
      </w:pPr>
      <w:r>
        <w:rPr>
          <w:rStyle w:val="s0"/>
        </w:rPr>
        <w:t>периодическое обновление справочной информации в базе данных программного обеспечения;</w:t>
      </w:r>
    </w:p>
    <w:p w:rsidR="005A2D6F" w:rsidRDefault="00972405">
      <w:pPr>
        <w:ind w:firstLine="400"/>
        <w:jc w:val="both"/>
      </w:pPr>
      <w:r>
        <w:rPr>
          <w:rStyle w:val="s0"/>
        </w:rPr>
        <w:t>ввод данных в программное обеспечение;</w:t>
      </w:r>
    </w:p>
    <w:p w:rsidR="005A2D6F" w:rsidRDefault="00972405">
      <w:pPr>
        <w:ind w:firstLine="400"/>
        <w:jc w:val="both"/>
      </w:pPr>
      <w:r>
        <w:rPr>
          <w:rStyle w:val="s0"/>
        </w:rPr>
        <w:t>проведение в программном обеспечении определенных операций со средствами клиентов;</w:t>
      </w:r>
    </w:p>
    <w:p w:rsidR="005A2D6F" w:rsidRDefault="00972405">
      <w:pPr>
        <w:ind w:firstLine="400"/>
        <w:jc w:val="both"/>
      </w:pPr>
      <w:r>
        <w:rPr>
          <w:rStyle w:val="s0"/>
        </w:rPr>
        <w:t>формирование отчетных (выходных) форм;</w:t>
      </w:r>
    </w:p>
    <w:p w:rsidR="005A2D6F" w:rsidRDefault="00972405">
      <w:pPr>
        <w:ind w:firstLine="400"/>
        <w:jc w:val="both"/>
      </w:pPr>
      <w:r>
        <w:rPr>
          <w:rStyle w:val="s0"/>
        </w:rPr>
        <w:t>сохранение необходимой информации;</w:t>
      </w:r>
    </w:p>
    <w:p w:rsidR="005A2D6F" w:rsidRDefault="00972405">
      <w:pPr>
        <w:ind w:firstLine="400"/>
        <w:jc w:val="both"/>
      </w:pPr>
      <w:r>
        <w:rPr>
          <w:rStyle w:val="s0"/>
        </w:rPr>
        <w:t>печать отчетов и выходных документов.</w:t>
      </w:r>
    </w:p>
    <w:p w:rsidR="005A2D6F" w:rsidRDefault="00972405">
      <w:pPr>
        <w:ind w:firstLine="400"/>
        <w:jc w:val="both"/>
      </w:pPr>
      <w:r>
        <w:rPr>
          <w:rStyle w:val="s0"/>
        </w:rPr>
        <w:t>7. Для каждого пользователя программного обеспечения предусматривается вход по индивидуальному паролю. Для уровня доступа - «администратор» предусматривается возможность изменения паролей. Доступ к входным данным, функциям, операциям, отчетам обеспечивается посредством ввода соответствующего пароля, который меняется не реже одного раза в тридцать календарных дней.</w:t>
      </w:r>
    </w:p>
    <w:p w:rsidR="005A2D6F" w:rsidRDefault="00972405">
      <w:pPr>
        <w:ind w:firstLine="400"/>
        <w:jc w:val="both"/>
      </w:pPr>
      <w:r>
        <w:rPr>
          <w:rStyle w:val="s0"/>
        </w:rPr>
        <w:lastRenderedPageBreak/>
        <w:t>8. В программном обеспечении (независимо от уровня доступа) не допускается:</w:t>
      </w:r>
    </w:p>
    <w:p w:rsidR="005A2D6F" w:rsidRDefault="00972405">
      <w:pPr>
        <w:ind w:firstLine="400"/>
        <w:jc w:val="both"/>
      </w:pPr>
      <w:r>
        <w:rPr>
          <w:rStyle w:val="s0"/>
        </w:rPr>
        <w:t>1) содержание средств, позволяющих исполнить определенные функции и операции с нарушением установленного порядка их выполнения;</w:t>
      </w:r>
    </w:p>
    <w:p w:rsidR="005A2D6F" w:rsidRDefault="00972405">
      <w:pPr>
        <w:ind w:firstLine="400"/>
        <w:jc w:val="both"/>
      </w:pPr>
      <w:r>
        <w:rPr>
          <w:rStyle w:val="s0"/>
        </w:rPr>
        <w:t>2) иметь функции, позволяющие напрямую вносить изменения в данные сформированных выходных документов;</w:t>
      </w:r>
    </w:p>
    <w:p w:rsidR="005A2D6F" w:rsidRDefault="00972405">
      <w:pPr>
        <w:ind w:firstLine="400"/>
        <w:jc w:val="both"/>
      </w:pPr>
      <w:r>
        <w:rPr>
          <w:rStyle w:val="s0"/>
        </w:rPr>
        <w:t>3) изменение (удаление) данных о проведенных операциях и о состоянии клиринговых регистров учет, за исключением специально предназначенных для этого операций (функций).</w:t>
      </w:r>
    </w:p>
    <w:p w:rsidR="005A2D6F" w:rsidRDefault="00972405">
      <w:pPr>
        <w:ind w:firstLine="400"/>
        <w:jc w:val="both"/>
      </w:pPr>
      <w:r>
        <w:rPr>
          <w:rStyle w:val="s0"/>
        </w:rPr>
        <w:t>9. При выполнении операций программным обеспечением клирингового центра уведомляется о наступлении следующих условий:</w:t>
      </w:r>
    </w:p>
    <w:p w:rsidR="005A2D6F" w:rsidRDefault="00972405">
      <w:pPr>
        <w:ind w:firstLine="400"/>
        <w:jc w:val="both"/>
      </w:pPr>
      <w:r>
        <w:rPr>
          <w:rStyle w:val="s0"/>
        </w:rPr>
        <w:t>1) количество средств, подлежащих списанию с клирингового регистра учета, превышает количество средств на нем;</w:t>
      </w:r>
    </w:p>
    <w:p w:rsidR="005A2D6F" w:rsidRDefault="00972405">
      <w:pPr>
        <w:ind w:firstLine="400"/>
        <w:jc w:val="both"/>
      </w:pPr>
      <w:r>
        <w:rPr>
          <w:rStyle w:val="s0"/>
        </w:rPr>
        <w:t>2) нарушение сроков исполнения сделок;</w:t>
      </w:r>
    </w:p>
    <w:p w:rsidR="005A2D6F" w:rsidRDefault="00972405">
      <w:pPr>
        <w:ind w:firstLine="400"/>
        <w:jc w:val="both"/>
      </w:pPr>
      <w:r>
        <w:rPr>
          <w:rStyle w:val="s0"/>
        </w:rPr>
        <w:t>3) клиринговой регистр учета, с которого списываются средства, блокирован.</w:t>
      </w:r>
    </w:p>
    <w:p w:rsidR="005A2D6F" w:rsidRDefault="00972405">
      <w:pPr>
        <w:ind w:firstLine="400"/>
        <w:jc w:val="both"/>
      </w:pPr>
      <w:r>
        <w:rPr>
          <w:rStyle w:val="s0"/>
        </w:rPr>
        <w:t>10. Членом товарной биржи - пользователем аппаратно-программного комплекса клирингового центра выполняются следующие требования:</w:t>
      </w:r>
    </w:p>
    <w:p w:rsidR="005A2D6F" w:rsidRDefault="00972405">
      <w:pPr>
        <w:ind w:firstLine="400"/>
        <w:jc w:val="both"/>
      </w:pPr>
      <w:r>
        <w:rPr>
          <w:rStyle w:val="s0"/>
        </w:rPr>
        <w:t>1) на рабочем месте пользователя устанавливается антивирусное программное обеспечение с регулярно обновляемой антивирусной базой и автоматическая загрузка системных обновлений операционной системы;</w:t>
      </w:r>
    </w:p>
    <w:p w:rsidR="005A2D6F" w:rsidRDefault="00972405">
      <w:pPr>
        <w:ind w:firstLine="400"/>
        <w:jc w:val="both"/>
      </w:pPr>
      <w:r>
        <w:rPr>
          <w:rStyle w:val="s0"/>
        </w:rPr>
        <w:t>2) на персональном компьютере пользователя, используемом для проведения операций, не допускается установка программных средств, не предназначенных для решения задач по подготовке, обработке, передаче или ведению электронных документов;</w:t>
      </w:r>
    </w:p>
    <w:p w:rsidR="005A2D6F" w:rsidRDefault="00972405">
      <w:pPr>
        <w:ind w:firstLine="400"/>
        <w:jc w:val="both"/>
      </w:pPr>
      <w:r>
        <w:rPr>
          <w:rStyle w:val="s0"/>
        </w:rPr>
        <w:t>3) одному системному имени пользователя, по которому идентифицируется пользователь при входе в программную среду, соответствует одно физическое лицо.</w:t>
      </w:r>
    </w:p>
    <w:p w:rsidR="005A2D6F" w:rsidRDefault="00972405">
      <w:pPr>
        <w:ind w:firstLine="400"/>
        <w:jc w:val="both"/>
      </w:pPr>
      <w:r>
        <w:rPr>
          <w:rStyle w:val="s0"/>
        </w:rPr>
        <w:t>11. Для обеспечения бесперебойности и непрерывности функционирования своего аппаратно-программного комплекса клиринговый центр предусматривает наличие не менее двух источников бесперебойного электрического питания, один из которых используется в качестве основного, а остальные - в качестве резервных, либо единственный источник бесперебойного электрического питания, с наличием резервного генератора, готовым к немедленной активации.</w:t>
      </w:r>
    </w:p>
    <w:p w:rsidR="005A2D6F" w:rsidRDefault="00972405">
      <w:pPr>
        <w:ind w:firstLine="400"/>
        <w:jc w:val="both"/>
      </w:pPr>
      <w:r>
        <w:rPr>
          <w:rStyle w:val="s0"/>
        </w:rPr>
        <w:t>12. Серверное аппаратное обеспечение клирингового центра имеет в своем составе резервное оборудование, готовое к немедленной активизации в случае повреждения, уничтожения или невозможности использования основного оборудования. При этом помещение с серверным оборудованием оснащается системой контроля доступа.</w:t>
      </w:r>
    </w:p>
    <w:p w:rsidR="005A2D6F" w:rsidRDefault="00972405">
      <w:pPr>
        <w:ind w:firstLine="400"/>
        <w:jc w:val="both"/>
      </w:pPr>
      <w:r>
        <w:rPr>
          <w:rStyle w:val="s0"/>
        </w:rPr>
        <w:t> </w:t>
      </w:r>
    </w:p>
    <w:p w:rsidR="005A2D6F" w:rsidRDefault="00972405">
      <w:pPr>
        <w:ind w:firstLine="400"/>
        <w:jc w:val="both"/>
      </w:pPr>
      <w:r>
        <w:rPr>
          <w:rStyle w:val="s0"/>
        </w:rPr>
        <w:t> </w:t>
      </w:r>
    </w:p>
    <w:sectPr w:rsidR="005A2D6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FA" w:rsidRDefault="00D728FA" w:rsidP="00972405">
      <w:r>
        <w:separator/>
      </w:r>
    </w:p>
  </w:endnote>
  <w:endnote w:type="continuationSeparator" w:id="0">
    <w:p w:rsidR="00D728FA" w:rsidRDefault="00D728FA" w:rsidP="0097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05" w:rsidRDefault="009724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05" w:rsidRDefault="0097240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05" w:rsidRDefault="009724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FA" w:rsidRDefault="00D728FA" w:rsidP="00972405">
      <w:r>
        <w:separator/>
      </w:r>
    </w:p>
  </w:footnote>
  <w:footnote w:type="continuationSeparator" w:id="0">
    <w:p w:rsidR="00D728FA" w:rsidRDefault="00D728FA" w:rsidP="0097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05" w:rsidRDefault="009724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05" w:rsidRDefault="00972405" w:rsidP="0097240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72405" w:rsidRDefault="00972405" w:rsidP="0097240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национальной экономики Республики Казахстан от 25 ноября 2015 года № 729 «Об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биржи» (с изменениями от 03.09.2019 г.)</w:t>
    </w:r>
  </w:p>
  <w:p w:rsidR="00972405" w:rsidRPr="00972405" w:rsidRDefault="00972405" w:rsidP="0097240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30.01.2016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05" w:rsidRDefault="009724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5"/>
    <w:rsid w:val="005A2D6F"/>
    <w:rsid w:val="00692F62"/>
    <w:rsid w:val="00972405"/>
    <w:rsid w:val="00D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2655E7-4547-4897-BFCA-679EF4CB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724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05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24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05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0413553" TargetMode="External"/><Relationship Id="rId13" Type="http://schemas.openxmlformats.org/officeDocument/2006/relationships/hyperlink" Target="http://online.zakon.kz/Document/?doc_id=30413553" TargetMode="External"/><Relationship Id="rId18" Type="http://schemas.openxmlformats.org/officeDocument/2006/relationships/hyperlink" Target="http://online.zakon.kz/Document/?doc_id=34730027" TargetMode="External"/><Relationship Id="rId26" Type="http://schemas.openxmlformats.org/officeDocument/2006/relationships/hyperlink" Target="http://online.zakon.kz/Document/?doc_id=38071721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8071721" TargetMode="External"/><Relationship Id="rId34" Type="http://schemas.openxmlformats.org/officeDocument/2006/relationships/hyperlink" Target="http://online.zakon.kz/Document/?doc_id=3473002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nline.zakon.kz/Document/?doc_id=30413553" TargetMode="External"/><Relationship Id="rId12" Type="http://schemas.openxmlformats.org/officeDocument/2006/relationships/hyperlink" Target="http://online.zakon.kz/Document/?doc_id=38071721" TargetMode="External"/><Relationship Id="rId17" Type="http://schemas.openxmlformats.org/officeDocument/2006/relationships/hyperlink" Target="http://online.zakon.kz/Document/?doc_id=38071721" TargetMode="External"/><Relationship Id="rId25" Type="http://schemas.openxmlformats.org/officeDocument/2006/relationships/hyperlink" Target="http://online.zakon.kz/Document/?doc_id=34730027" TargetMode="External"/><Relationship Id="rId33" Type="http://schemas.openxmlformats.org/officeDocument/2006/relationships/hyperlink" Target="http://online.zakon.kz/Document/?doc_id=30413553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4730027" TargetMode="External"/><Relationship Id="rId20" Type="http://schemas.openxmlformats.org/officeDocument/2006/relationships/hyperlink" Target="http://online.zakon.kz/Document/?doc_id=34730027" TargetMode="External"/><Relationship Id="rId29" Type="http://schemas.openxmlformats.org/officeDocument/2006/relationships/hyperlink" Target="http://online.zakon.kz/Document/?doc_id=34730027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141438" TargetMode="External"/><Relationship Id="rId11" Type="http://schemas.openxmlformats.org/officeDocument/2006/relationships/hyperlink" Target="http://online.zakon.kz/Document/?doc_id=34730027" TargetMode="External"/><Relationship Id="rId24" Type="http://schemas.openxmlformats.org/officeDocument/2006/relationships/hyperlink" Target="http://online.zakon.kz/Document/?doc_id=30413553" TargetMode="External"/><Relationship Id="rId32" Type="http://schemas.openxmlformats.org/officeDocument/2006/relationships/hyperlink" Target="http://online.zakon.kz/Document/?doc_id=38071721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8071721" TargetMode="External"/><Relationship Id="rId23" Type="http://schemas.openxmlformats.org/officeDocument/2006/relationships/hyperlink" Target="http://online.zakon.kz/Document/?doc_id=38071721" TargetMode="External"/><Relationship Id="rId28" Type="http://schemas.openxmlformats.org/officeDocument/2006/relationships/hyperlink" Target="http://online.zakon.kz/Document/?doc_id=38071721" TargetMode="External"/><Relationship Id="rId36" Type="http://schemas.openxmlformats.org/officeDocument/2006/relationships/header" Target="header1.xml"/><Relationship Id="rId10" Type="http://schemas.openxmlformats.org/officeDocument/2006/relationships/hyperlink" Target="http://online.zakon.kz/Document/?doc_id=34141438" TargetMode="External"/><Relationship Id="rId19" Type="http://schemas.openxmlformats.org/officeDocument/2006/relationships/hyperlink" Target="http://online.zakon.kz/Document/?doc_id=38071721" TargetMode="External"/><Relationship Id="rId31" Type="http://schemas.openxmlformats.org/officeDocument/2006/relationships/hyperlink" Target="http://online.zakon.kz/Document/?doc_id=347300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4141438" TargetMode="External"/><Relationship Id="rId14" Type="http://schemas.openxmlformats.org/officeDocument/2006/relationships/hyperlink" Target="http://online.zakon.kz/Document/?doc_id=34730027" TargetMode="External"/><Relationship Id="rId22" Type="http://schemas.openxmlformats.org/officeDocument/2006/relationships/hyperlink" Target="http://online.zakon.kz/Document/?doc_id=34730027" TargetMode="External"/><Relationship Id="rId27" Type="http://schemas.openxmlformats.org/officeDocument/2006/relationships/hyperlink" Target="http://online.zakon.kz/Document/?doc_id=34730027" TargetMode="External"/><Relationship Id="rId30" Type="http://schemas.openxmlformats.org/officeDocument/2006/relationships/hyperlink" Target="http://online.zakon.kz/Document/?doc_id=38071721" TargetMode="External"/><Relationship Id="rId35" Type="http://schemas.openxmlformats.org/officeDocument/2006/relationships/hyperlink" Target="http://online.zakon.kz/Document/?doc_id=3807172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и.о. Министра национальной экономики Республики Казахстан от 25 ноября 2015 года № 729 «Об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</vt:lpstr>
    </vt:vector>
  </TitlesOfParts>
  <Company/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национальной экономики Республики Казахстан от 25 ноября 2015 года № 729 «Об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биржи» (с изменениями от 03.09.2019 г.) (©Paragraph 2023)</dc:title>
  <dc:subject/>
  <dc:creator>Сергей М</dc:creator>
  <cp:keywords/>
  <dc:description/>
  <cp:lastModifiedBy>user</cp:lastModifiedBy>
  <cp:revision>2</cp:revision>
  <dcterms:created xsi:type="dcterms:W3CDTF">2025-03-27T13:25:00Z</dcterms:created>
  <dcterms:modified xsi:type="dcterms:W3CDTF">2025-03-27T13:25:00Z</dcterms:modified>
</cp:coreProperties>
</file>